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20" w:rsidRDefault="00336CE9">
      <w:r>
        <w:t>Central chiller plants</w:t>
      </w:r>
      <w:r w:rsidR="00EA3FDE">
        <w:t xml:space="preserve"> in the Middle East typically ha</w:t>
      </w:r>
      <w:r>
        <w:t>ve</w:t>
      </w:r>
      <w:r w:rsidR="00EA3FDE">
        <w:t xml:space="preserve"> the </w:t>
      </w:r>
      <w:r>
        <w:t>gross energy efficiency</w:t>
      </w:r>
      <w:r w:rsidR="00EA3FDE">
        <w:t xml:space="preserve"> </w:t>
      </w:r>
      <w:r>
        <w:t>of</w:t>
      </w:r>
      <w:r w:rsidR="00EA3FDE">
        <w:t xml:space="preserve"> approximately 1 kW/RT.  </w:t>
      </w:r>
      <w:r>
        <w:t xml:space="preserve"> </w:t>
      </w:r>
      <w:r w:rsidR="00EA3FDE">
        <w:t xml:space="preserve">For the ADA Project, the required standby cooling capacity during blackout is 65,000 RT in phase PAL-2 and 90,000 RT in phase PAL-4, which is equivalent to 65 MW and 90 MW respectively.  </w:t>
      </w:r>
    </w:p>
    <w:p w:rsidR="0029511C" w:rsidRDefault="00336CE9">
      <w:r>
        <w:t>As t</w:t>
      </w:r>
      <w:r w:rsidR="009C4ACB">
        <w:t xml:space="preserve">he locations of </w:t>
      </w:r>
      <w:r w:rsidR="0029511C">
        <w:t>CUP-1, CUP-2 and CUP-3 are far apart</w:t>
      </w:r>
      <w:r w:rsidR="009C4ACB">
        <w:t xml:space="preserve">, </w:t>
      </w:r>
      <w:r w:rsidR="0029511C">
        <w:t>it is</w:t>
      </w:r>
      <w:r w:rsidR="009C4ACB">
        <w:t xml:space="preserve"> </w:t>
      </w:r>
      <w:r w:rsidR="0029511C">
        <w:t>advisable to provide backup power at individual CUP sites</w:t>
      </w:r>
      <w:r>
        <w:t xml:space="preserve"> in lieu of a centralized location</w:t>
      </w:r>
      <w:r w:rsidR="0029511C">
        <w:t xml:space="preserve">. </w:t>
      </w:r>
      <w:r>
        <w:t xml:space="preserve"> T</w:t>
      </w:r>
      <w:r w:rsidR="0029511C">
        <w:t xml:space="preserve">he </w:t>
      </w:r>
      <w:r w:rsidR="003E485F">
        <w:t xml:space="preserve">required </w:t>
      </w:r>
      <w:r w:rsidR="0029511C">
        <w:t>backup power capacit</w:t>
      </w:r>
      <w:r w:rsidR="003E485F">
        <w:t>ies</w:t>
      </w:r>
      <w:r w:rsidR="0029511C">
        <w:t xml:space="preserve"> would be:</w:t>
      </w:r>
    </w:p>
    <w:tbl>
      <w:tblPr>
        <w:tblStyle w:val="TableGrid"/>
        <w:tblW w:w="0" w:type="auto"/>
        <w:tblInd w:w="558" w:type="dxa"/>
        <w:tblLook w:val="04A0"/>
      </w:tblPr>
      <w:tblGrid>
        <w:gridCol w:w="1278"/>
        <w:gridCol w:w="1530"/>
        <w:gridCol w:w="1710"/>
        <w:gridCol w:w="1710"/>
      </w:tblGrid>
      <w:tr w:rsidR="0029511C" w:rsidTr="009C4ACB">
        <w:tc>
          <w:tcPr>
            <w:tcW w:w="1278" w:type="dxa"/>
          </w:tcPr>
          <w:p w:rsidR="0029511C" w:rsidRDefault="0029511C"/>
        </w:tc>
        <w:tc>
          <w:tcPr>
            <w:tcW w:w="1530" w:type="dxa"/>
          </w:tcPr>
          <w:p w:rsidR="0029511C" w:rsidRDefault="0029511C">
            <w:r>
              <w:t>PAL-2</w:t>
            </w:r>
          </w:p>
        </w:tc>
        <w:tc>
          <w:tcPr>
            <w:tcW w:w="1710" w:type="dxa"/>
          </w:tcPr>
          <w:p w:rsidR="0029511C" w:rsidRDefault="0029511C">
            <w:r>
              <w:t>PAL-3/4</w:t>
            </w:r>
          </w:p>
        </w:tc>
        <w:tc>
          <w:tcPr>
            <w:tcW w:w="1710" w:type="dxa"/>
          </w:tcPr>
          <w:p w:rsidR="0029511C" w:rsidRDefault="0029511C">
            <w:r>
              <w:t>Total</w:t>
            </w:r>
          </w:p>
        </w:tc>
      </w:tr>
      <w:tr w:rsidR="0029511C" w:rsidTr="009C4ACB">
        <w:tc>
          <w:tcPr>
            <w:tcW w:w="1278" w:type="dxa"/>
          </w:tcPr>
          <w:p w:rsidR="0029511C" w:rsidRDefault="0029511C">
            <w:r>
              <w:t>CUP-1 Site</w:t>
            </w:r>
          </w:p>
        </w:tc>
        <w:tc>
          <w:tcPr>
            <w:tcW w:w="1530" w:type="dxa"/>
          </w:tcPr>
          <w:p w:rsidR="0029511C" w:rsidRDefault="0029511C">
            <w:r>
              <w:t>30 MW</w:t>
            </w:r>
          </w:p>
        </w:tc>
        <w:tc>
          <w:tcPr>
            <w:tcW w:w="1710" w:type="dxa"/>
          </w:tcPr>
          <w:p w:rsidR="0029511C" w:rsidRDefault="00A64947">
            <w:r>
              <w:t>5</w:t>
            </w:r>
            <w:r w:rsidR="0029511C">
              <w:t xml:space="preserve"> MW</w:t>
            </w:r>
          </w:p>
        </w:tc>
        <w:tc>
          <w:tcPr>
            <w:tcW w:w="1710" w:type="dxa"/>
          </w:tcPr>
          <w:p w:rsidR="0029511C" w:rsidRDefault="00A64947">
            <w:r>
              <w:t>35</w:t>
            </w:r>
            <w:r w:rsidR="0029511C">
              <w:t xml:space="preserve"> MW</w:t>
            </w:r>
          </w:p>
        </w:tc>
      </w:tr>
      <w:tr w:rsidR="0029511C" w:rsidTr="009C4ACB">
        <w:tc>
          <w:tcPr>
            <w:tcW w:w="1278" w:type="dxa"/>
          </w:tcPr>
          <w:p w:rsidR="0029511C" w:rsidRDefault="0029511C">
            <w:r>
              <w:t>CUP-2 Site</w:t>
            </w:r>
          </w:p>
        </w:tc>
        <w:tc>
          <w:tcPr>
            <w:tcW w:w="1530" w:type="dxa"/>
          </w:tcPr>
          <w:p w:rsidR="0029511C" w:rsidRDefault="0029511C">
            <w:r>
              <w:t>25 MW</w:t>
            </w:r>
          </w:p>
        </w:tc>
        <w:tc>
          <w:tcPr>
            <w:tcW w:w="1710" w:type="dxa"/>
          </w:tcPr>
          <w:p w:rsidR="0029511C" w:rsidRDefault="0029511C">
            <w:r>
              <w:t>20 MW</w:t>
            </w:r>
          </w:p>
        </w:tc>
        <w:tc>
          <w:tcPr>
            <w:tcW w:w="1710" w:type="dxa"/>
          </w:tcPr>
          <w:p w:rsidR="0029511C" w:rsidRDefault="0029511C">
            <w:r>
              <w:t>45 MW</w:t>
            </w:r>
          </w:p>
        </w:tc>
      </w:tr>
      <w:tr w:rsidR="0029511C" w:rsidTr="009C4ACB">
        <w:tc>
          <w:tcPr>
            <w:tcW w:w="1278" w:type="dxa"/>
          </w:tcPr>
          <w:p w:rsidR="0029511C" w:rsidRDefault="0029511C">
            <w:r>
              <w:t>CUP-3 Site</w:t>
            </w:r>
          </w:p>
        </w:tc>
        <w:tc>
          <w:tcPr>
            <w:tcW w:w="1530" w:type="dxa"/>
          </w:tcPr>
          <w:p w:rsidR="0029511C" w:rsidRDefault="0029511C">
            <w:r>
              <w:t>10 MW</w:t>
            </w:r>
          </w:p>
        </w:tc>
        <w:tc>
          <w:tcPr>
            <w:tcW w:w="1710" w:type="dxa"/>
          </w:tcPr>
          <w:p w:rsidR="0029511C" w:rsidRDefault="0029511C">
            <w:r>
              <w:t>0</w:t>
            </w:r>
          </w:p>
        </w:tc>
        <w:tc>
          <w:tcPr>
            <w:tcW w:w="1710" w:type="dxa"/>
          </w:tcPr>
          <w:p w:rsidR="0029511C" w:rsidRDefault="0029511C">
            <w:r>
              <w:t>10 MW</w:t>
            </w:r>
          </w:p>
        </w:tc>
      </w:tr>
      <w:tr w:rsidR="0029511C" w:rsidTr="009C4ACB">
        <w:tc>
          <w:tcPr>
            <w:tcW w:w="1278" w:type="dxa"/>
          </w:tcPr>
          <w:p w:rsidR="0029511C" w:rsidRDefault="0029511C">
            <w:r>
              <w:t>Total</w:t>
            </w:r>
          </w:p>
        </w:tc>
        <w:tc>
          <w:tcPr>
            <w:tcW w:w="1530" w:type="dxa"/>
          </w:tcPr>
          <w:p w:rsidR="0029511C" w:rsidRDefault="0029511C"/>
        </w:tc>
        <w:tc>
          <w:tcPr>
            <w:tcW w:w="1710" w:type="dxa"/>
          </w:tcPr>
          <w:p w:rsidR="0029511C" w:rsidRDefault="0029511C"/>
        </w:tc>
        <w:tc>
          <w:tcPr>
            <w:tcW w:w="1710" w:type="dxa"/>
          </w:tcPr>
          <w:p w:rsidR="0029511C" w:rsidRDefault="0029511C" w:rsidP="00A64947">
            <w:r>
              <w:t>9</w:t>
            </w:r>
            <w:r w:rsidR="00A64947">
              <w:t>0</w:t>
            </w:r>
            <w:r>
              <w:t xml:space="preserve"> MW</w:t>
            </w:r>
          </w:p>
        </w:tc>
      </w:tr>
    </w:tbl>
    <w:p w:rsidR="0029511C" w:rsidRDefault="0029511C"/>
    <w:p w:rsidR="00336CE9" w:rsidRDefault="00336CE9">
      <w:r>
        <w:t>At the</w:t>
      </w:r>
      <w:r w:rsidR="00195187">
        <w:t xml:space="preserve"> above</w:t>
      </w:r>
      <w:r>
        <w:t xml:space="preserve"> capacity range, power generation should be provided by gas turbines similar to the ones made by Solar Gas Turbines (catalog cuts attached).</w:t>
      </w:r>
      <w:r w:rsidR="00195187">
        <w:t xml:space="preserve">   A diesel generator shall be required at each site for the emergency power loads in the CUP’s as well as the parasitic loads of the gas turbines for black start.  </w:t>
      </w:r>
    </w:p>
    <w:p w:rsidR="00195187" w:rsidRDefault="00195187">
      <w:r>
        <w:t>In the event of a black out, the CUP’s will shut down, and be restarted after the backup power generators are on line.  The thermal mass in the chilled water distribution system would allow the momentary shutdown of the chiller plants without interruption of cooling services.  Some of the main chilled water circulating pumps will be place on emergency power</w:t>
      </w:r>
      <w:r w:rsidR="003E485F">
        <w:t xml:space="preserve"> to maintain chilled water circulation</w:t>
      </w:r>
      <w:r w:rsidR="00EC37C0">
        <w:t>.</w:t>
      </w:r>
      <w:r w:rsidR="003E485F">
        <w:t xml:space="preserve">  In addition, chilled water distribution systems for CUP-1, CUP-2 and CUP-3 will be cross-connected to permit supplemental cooling among the systems.</w:t>
      </w:r>
    </w:p>
    <w:p w:rsidR="00EC37C0" w:rsidRDefault="00EC37C0">
      <w:r>
        <w:t xml:space="preserve">An alternate option to provide the backup power is to use the gas turbines complete with heat recovery steam generators for cogeneration operation.  Gas turbines will operate continuously producing power and high pressure steam.  High pressure steam will be used by steam turbine driven chillers to produce chilled water.  This hybrid chiller plant will have greater energy efficiency than conventional chiller plant </w:t>
      </w:r>
      <w:r w:rsidR="003E485F">
        <w:t xml:space="preserve">that </w:t>
      </w:r>
      <w:r>
        <w:t>us</w:t>
      </w:r>
      <w:r w:rsidR="003E485F">
        <w:t>es</w:t>
      </w:r>
      <w:r>
        <w:t xml:space="preserve"> </w:t>
      </w:r>
      <w:r w:rsidR="003E485F">
        <w:t xml:space="preserve">all </w:t>
      </w:r>
      <w:r>
        <w:t xml:space="preserve">electric motor driven chillers with backup power generators.   Due to the use of non-electric chillers, the capacity of power generators can be reduced.  </w:t>
      </w:r>
    </w:p>
    <w:p w:rsidR="00D464CA" w:rsidRDefault="00D464CA">
      <w:r>
        <w:t>A comprehensive feasibility study will be performed on the conventional plants and hybrid plants to determine the optimum plant configuration.  Recommendations will be made based on life cycle costs.</w:t>
      </w:r>
    </w:p>
    <w:p w:rsidR="00336CE9" w:rsidRDefault="00336CE9"/>
    <w:sectPr w:rsidR="00336CE9" w:rsidSect="00195187">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54445"/>
    <w:multiLevelType w:val="multilevel"/>
    <w:tmpl w:val="B9744388"/>
    <w:lvl w:ilvl="0">
      <w:start w:val="1"/>
      <w:numFmt w:val="decimal"/>
      <w:pStyle w:val="WMSpec1"/>
      <w:suff w:val="nothing"/>
      <w:lvlText w:val="PART %1 - "/>
      <w:lvlJc w:val="left"/>
      <w:pPr>
        <w:ind w:left="0" w:firstLine="0"/>
      </w:pPr>
      <w:rPr>
        <w:rFonts w:ascii="Arial" w:hAnsi="Arial" w:hint="default"/>
        <w:b w:val="0"/>
        <w:i w:val="0"/>
        <w:caps/>
        <w:strike w:val="0"/>
        <w:dstrike w:val="0"/>
        <w:outline w:val="0"/>
        <w:shadow w:val="0"/>
        <w:emboss w:val="0"/>
        <w:imprint w:val="0"/>
        <w:vanish w:val="0"/>
        <w:color w:val="auto"/>
        <w:sz w:val="20"/>
        <w:u w:val="none"/>
        <w:vertAlign w:val="baseline"/>
      </w:rPr>
    </w:lvl>
    <w:lvl w:ilvl="1">
      <w:start w:val="1"/>
      <w:numFmt w:val="decimal"/>
      <w:pStyle w:val="WMSpec2"/>
      <w:lvlText w:val="%1.%2"/>
      <w:lvlJc w:val="left"/>
      <w:pPr>
        <w:tabs>
          <w:tab w:val="num" w:pos="540"/>
        </w:tabs>
        <w:ind w:left="540" w:hanging="540"/>
      </w:pPr>
      <w:rPr>
        <w:rFonts w:ascii="Arial" w:hAnsi="Arial" w:hint="default"/>
        <w:b w:val="0"/>
        <w:i w:val="0"/>
        <w:caps/>
        <w:vanish w:val="0"/>
        <w:color w:val="auto"/>
        <w:sz w:val="20"/>
        <w:u w:val="none"/>
      </w:rPr>
    </w:lvl>
    <w:lvl w:ilvl="2">
      <w:start w:val="1"/>
      <w:numFmt w:val="upperLetter"/>
      <w:pStyle w:val="WMSpec3"/>
      <w:lvlText w:val="%3."/>
      <w:lvlJc w:val="left"/>
      <w:pPr>
        <w:tabs>
          <w:tab w:val="num" w:pos="1080"/>
        </w:tabs>
        <w:ind w:left="1080" w:hanging="540"/>
      </w:pPr>
      <w:rPr>
        <w:rFonts w:ascii="Arial" w:hAnsi="Arial" w:hint="default"/>
        <w:b w:val="0"/>
        <w:i w:val="0"/>
        <w:color w:val="auto"/>
        <w:sz w:val="20"/>
        <w:u w:val="none"/>
      </w:rPr>
    </w:lvl>
    <w:lvl w:ilvl="3">
      <w:start w:val="1"/>
      <w:numFmt w:val="decimal"/>
      <w:pStyle w:val="WMSpec4"/>
      <w:lvlText w:val="%4."/>
      <w:lvlJc w:val="left"/>
      <w:pPr>
        <w:tabs>
          <w:tab w:val="num" w:pos="1620"/>
        </w:tabs>
        <w:ind w:left="1620" w:hanging="540"/>
      </w:pPr>
      <w:rPr>
        <w:rFonts w:ascii="Arial" w:hAnsi="Arial" w:hint="default"/>
        <w:b w:val="0"/>
        <w:i w:val="0"/>
        <w:sz w:val="20"/>
      </w:rPr>
    </w:lvl>
    <w:lvl w:ilvl="4">
      <w:start w:val="1"/>
      <w:numFmt w:val="lowerLetter"/>
      <w:pStyle w:val="WMSpec5"/>
      <w:lvlText w:val="%5."/>
      <w:lvlJc w:val="left"/>
      <w:pPr>
        <w:tabs>
          <w:tab w:val="num" w:pos="1980"/>
        </w:tabs>
        <w:ind w:left="1980" w:hanging="360"/>
      </w:pPr>
      <w:rPr>
        <w:rFonts w:ascii="Arial" w:hAnsi="Arial" w:hint="default"/>
        <w:b w:val="0"/>
        <w:i w:val="0"/>
        <w:sz w:val="20"/>
      </w:rPr>
    </w:lvl>
    <w:lvl w:ilvl="5">
      <w:start w:val="1"/>
      <w:numFmt w:val="decimal"/>
      <w:pStyle w:val="WMSpec6"/>
      <w:lvlText w:val="%6)"/>
      <w:lvlJc w:val="left"/>
      <w:pPr>
        <w:tabs>
          <w:tab w:val="num" w:pos="2340"/>
        </w:tabs>
        <w:ind w:left="2340" w:hanging="360"/>
      </w:pPr>
      <w:rPr>
        <w:rFonts w:ascii="Arial" w:hAnsi="Arial" w:hint="default"/>
        <w:b w:val="0"/>
        <w:i w:val="0"/>
        <w:sz w:val="20"/>
      </w:rPr>
    </w:lvl>
    <w:lvl w:ilvl="6">
      <w:start w:val="1"/>
      <w:numFmt w:val="lowerLetter"/>
      <w:pStyle w:val="WMSpec7"/>
      <w:lvlText w:val="%7)"/>
      <w:lvlJc w:val="left"/>
      <w:pPr>
        <w:tabs>
          <w:tab w:val="num" w:pos="2700"/>
        </w:tabs>
        <w:ind w:left="2700" w:hanging="360"/>
      </w:pPr>
      <w:rPr>
        <w:rFonts w:ascii="Arial" w:hAnsi="Arial" w:hint="default"/>
        <w:b w:val="0"/>
        <w:i w:val="0"/>
        <w:sz w:val="20"/>
      </w:rPr>
    </w:lvl>
    <w:lvl w:ilvl="7">
      <w:start w:val="1"/>
      <w:numFmt w:val="decimal"/>
      <w:pStyle w:val="WMSpec8"/>
      <w:lvlText w:val="(%8)"/>
      <w:lvlJc w:val="left"/>
      <w:pPr>
        <w:tabs>
          <w:tab w:val="num" w:pos="3060"/>
        </w:tabs>
        <w:ind w:left="3060" w:hanging="360"/>
      </w:pPr>
      <w:rPr>
        <w:rFonts w:ascii="Arial" w:hAnsi="Arial" w:hint="default"/>
        <w:b w:val="0"/>
        <w:i w:val="0"/>
        <w:sz w:val="20"/>
      </w:rPr>
    </w:lvl>
    <w:lvl w:ilvl="8">
      <w:start w:val="1"/>
      <w:numFmt w:val="lowerLetter"/>
      <w:pStyle w:val="WMSpec9"/>
      <w:lvlText w:val="(%9)"/>
      <w:lvlJc w:val="left"/>
      <w:pPr>
        <w:tabs>
          <w:tab w:val="num" w:pos="3420"/>
        </w:tabs>
        <w:ind w:left="3420" w:hanging="360"/>
      </w:pPr>
      <w:rPr>
        <w:rFonts w:ascii="Arial" w:hAnsi="Arial" w:hint="default"/>
        <w:b w:val="0"/>
        <w:i w:val="0"/>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3FDE"/>
    <w:rsid w:val="00147A6E"/>
    <w:rsid w:val="00195187"/>
    <w:rsid w:val="0029511C"/>
    <w:rsid w:val="00336CE9"/>
    <w:rsid w:val="003E485F"/>
    <w:rsid w:val="00855D71"/>
    <w:rsid w:val="009C4ACB"/>
    <w:rsid w:val="00A64947"/>
    <w:rsid w:val="00B44520"/>
    <w:rsid w:val="00D464CA"/>
    <w:rsid w:val="00DE5F09"/>
    <w:rsid w:val="00EA3FDE"/>
    <w:rsid w:val="00EC3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WMSpecFooter"/>
    <w:basedOn w:val="Normal"/>
    <w:link w:val="FooterChar"/>
    <w:rsid w:val="00147A6E"/>
    <w:pPr>
      <w:tabs>
        <w:tab w:val="center" w:pos="4320"/>
        <w:tab w:val="right" w:pos="8640"/>
      </w:tabs>
      <w:spacing w:after="0" w:line="240" w:lineRule="auto"/>
    </w:pPr>
    <w:rPr>
      <w:rFonts w:ascii="Arial" w:eastAsia="Times New Roman" w:hAnsi="Arial" w:cs="Times New Roman"/>
      <w:sz w:val="20"/>
      <w:szCs w:val="24"/>
      <w:lang w:eastAsia="en-US"/>
    </w:rPr>
  </w:style>
  <w:style w:type="character" w:customStyle="1" w:styleId="FooterChar">
    <w:name w:val="Footer Char"/>
    <w:aliases w:val="WMSpecFooter Char"/>
    <w:basedOn w:val="DefaultParagraphFont"/>
    <w:link w:val="Footer"/>
    <w:rsid w:val="00147A6E"/>
    <w:rPr>
      <w:rFonts w:ascii="Arial" w:eastAsia="Times New Roman" w:hAnsi="Arial" w:cs="Times New Roman"/>
      <w:sz w:val="20"/>
      <w:szCs w:val="24"/>
      <w:lang w:eastAsia="en-US"/>
    </w:rPr>
  </w:style>
  <w:style w:type="paragraph" w:styleId="Header">
    <w:name w:val="header"/>
    <w:aliases w:val="WMSpecHeader"/>
    <w:basedOn w:val="Normal"/>
    <w:link w:val="HeaderChar"/>
    <w:rsid w:val="00147A6E"/>
    <w:pPr>
      <w:tabs>
        <w:tab w:val="center" w:pos="4320"/>
        <w:tab w:val="right" w:pos="8640"/>
      </w:tabs>
      <w:spacing w:after="0" w:line="240" w:lineRule="auto"/>
    </w:pPr>
    <w:rPr>
      <w:rFonts w:ascii="Arial" w:eastAsia="Times New Roman" w:hAnsi="Arial" w:cs="Times New Roman"/>
      <w:sz w:val="20"/>
      <w:szCs w:val="24"/>
      <w:lang w:eastAsia="en-US"/>
    </w:rPr>
  </w:style>
  <w:style w:type="character" w:customStyle="1" w:styleId="HeaderChar">
    <w:name w:val="Header Char"/>
    <w:aliases w:val="WMSpecHeader Char"/>
    <w:basedOn w:val="DefaultParagraphFont"/>
    <w:link w:val="Header"/>
    <w:rsid w:val="00147A6E"/>
    <w:rPr>
      <w:rFonts w:ascii="Arial" w:eastAsia="Times New Roman" w:hAnsi="Arial" w:cs="Times New Roman"/>
      <w:sz w:val="20"/>
      <w:szCs w:val="24"/>
      <w:lang w:eastAsia="en-US"/>
    </w:rPr>
  </w:style>
  <w:style w:type="paragraph" w:customStyle="1" w:styleId="WMSpec1">
    <w:name w:val="WMSpec1"/>
    <w:basedOn w:val="Normal"/>
    <w:rsid w:val="00147A6E"/>
    <w:pPr>
      <w:keepNext/>
      <w:numPr>
        <w:numId w:val="9"/>
      </w:numPr>
      <w:spacing w:before="480" w:after="0" w:line="240" w:lineRule="auto"/>
    </w:pPr>
    <w:rPr>
      <w:rFonts w:ascii="Arial" w:eastAsia="Times New Roman" w:hAnsi="Arial" w:cs="Times New Roman"/>
      <w:caps/>
      <w:sz w:val="20"/>
      <w:szCs w:val="24"/>
      <w:lang w:eastAsia="en-US"/>
    </w:rPr>
  </w:style>
  <w:style w:type="paragraph" w:customStyle="1" w:styleId="WMSpec2">
    <w:name w:val="WMSpec2"/>
    <w:basedOn w:val="Normal"/>
    <w:rsid w:val="00147A6E"/>
    <w:pPr>
      <w:keepNext/>
      <w:numPr>
        <w:ilvl w:val="1"/>
        <w:numId w:val="9"/>
      </w:numPr>
      <w:spacing w:before="240" w:after="100" w:afterAutospacing="1" w:line="240" w:lineRule="auto"/>
    </w:pPr>
    <w:rPr>
      <w:rFonts w:ascii="Arial" w:eastAsia="Times New Roman" w:hAnsi="Arial" w:cs="Times New Roman"/>
      <w:caps/>
      <w:sz w:val="20"/>
      <w:szCs w:val="24"/>
      <w:lang w:eastAsia="en-US"/>
    </w:rPr>
  </w:style>
  <w:style w:type="paragraph" w:customStyle="1" w:styleId="WMSpec3">
    <w:name w:val="WMSpec3"/>
    <w:basedOn w:val="Normal"/>
    <w:rsid w:val="00147A6E"/>
    <w:pPr>
      <w:numPr>
        <w:ilvl w:val="2"/>
        <w:numId w:val="9"/>
      </w:numPr>
      <w:spacing w:before="240" w:after="100" w:afterAutospacing="1" w:line="240" w:lineRule="auto"/>
    </w:pPr>
    <w:rPr>
      <w:rFonts w:ascii="Arial" w:eastAsia="Times New Roman" w:hAnsi="Arial" w:cs="Times New Roman"/>
      <w:sz w:val="20"/>
      <w:szCs w:val="24"/>
      <w:lang w:eastAsia="en-US"/>
    </w:rPr>
  </w:style>
  <w:style w:type="paragraph" w:customStyle="1" w:styleId="WMSpec4">
    <w:name w:val="WMSpec4"/>
    <w:basedOn w:val="Normal"/>
    <w:next w:val="Normal"/>
    <w:rsid w:val="00147A6E"/>
    <w:pPr>
      <w:numPr>
        <w:ilvl w:val="3"/>
        <w:numId w:val="9"/>
      </w:numPr>
      <w:spacing w:before="100" w:beforeAutospacing="1" w:after="100" w:afterAutospacing="1" w:line="240" w:lineRule="auto"/>
    </w:pPr>
    <w:rPr>
      <w:rFonts w:ascii="Arial" w:eastAsia="Times New Roman" w:hAnsi="Arial" w:cs="Times New Roman"/>
      <w:sz w:val="20"/>
      <w:szCs w:val="24"/>
      <w:lang w:eastAsia="en-US"/>
    </w:rPr>
  </w:style>
  <w:style w:type="paragraph" w:customStyle="1" w:styleId="WMSpec5">
    <w:name w:val="WMSpec5"/>
    <w:basedOn w:val="Normal"/>
    <w:rsid w:val="00147A6E"/>
    <w:pPr>
      <w:numPr>
        <w:ilvl w:val="4"/>
        <w:numId w:val="9"/>
      </w:numPr>
      <w:spacing w:before="100" w:beforeAutospacing="1" w:after="100" w:afterAutospacing="1" w:line="240" w:lineRule="auto"/>
    </w:pPr>
    <w:rPr>
      <w:rFonts w:ascii="Arial" w:eastAsia="Times New Roman" w:hAnsi="Arial" w:cs="Times New Roman"/>
      <w:sz w:val="20"/>
      <w:szCs w:val="24"/>
      <w:lang w:eastAsia="en-US"/>
    </w:rPr>
  </w:style>
  <w:style w:type="paragraph" w:customStyle="1" w:styleId="WMSpec6">
    <w:name w:val="WMSpec6"/>
    <w:basedOn w:val="Normal"/>
    <w:rsid w:val="00147A6E"/>
    <w:pPr>
      <w:numPr>
        <w:ilvl w:val="5"/>
        <w:numId w:val="9"/>
      </w:numPr>
      <w:spacing w:before="100" w:beforeAutospacing="1" w:after="100" w:afterAutospacing="1" w:line="240" w:lineRule="auto"/>
    </w:pPr>
    <w:rPr>
      <w:rFonts w:ascii="Arial" w:eastAsia="Times New Roman" w:hAnsi="Arial" w:cs="Times New Roman"/>
      <w:sz w:val="20"/>
      <w:szCs w:val="24"/>
      <w:lang w:eastAsia="en-US"/>
    </w:rPr>
  </w:style>
  <w:style w:type="paragraph" w:customStyle="1" w:styleId="WMSpec7">
    <w:name w:val="WMSpec7"/>
    <w:basedOn w:val="Normal"/>
    <w:rsid w:val="00147A6E"/>
    <w:pPr>
      <w:numPr>
        <w:ilvl w:val="6"/>
        <w:numId w:val="9"/>
      </w:numPr>
      <w:spacing w:before="100" w:beforeAutospacing="1" w:after="100" w:afterAutospacing="1" w:line="240" w:lineRule="auto"/>
    </w:pPr>
    <w:rPr>
      <w:rFonts w:ascii="Arial" w:eastAsia="Times New Roman" w:hAnsi="Arial" w:cs="Times New Roman"/>
      <w:sz w:val="20"/>
      <w:szCs w:val="24"/>
      <w:lang w:eastAsia="en-US"/>
    </w:rPr>
  </w:style>
  <w:style w:type="paragraph" w:customStyle="1" w:styleId="WMSpec8">
    <w:name w:val="WMSpec8"/>
    <w:basedOn w:val="Normal"/>
    <w:rsid w:val="00147A6E"/>
    <w:pPr>
      <w:numPr>
        <w:ilvl w:val="7"/>
        <w:numId w:val="9"/>
      </w:numPr>
      <w:spacing w:before="100" w:beforeAutospacing="1" w:after="100" w:afterAutospacing="1" w:line="240" w:lineRule="auto"/>
    </w:pPr>
    <w:rPr>
      <w:rFonts w:ascii="Arial" w:eastAsia="Times New Roman" w:hAnsi="Arial" w:cs="Times New Roman"/>
      <w:sz w:val="20"/>
      <w:szCs w:val="24"/>
      <w:lang w:eastAsia="en-US"/>
    </w:rPr>
  </w:style>
  <w:style w:type="paragraph" w:customStyle="1" w:styleId="WMSpec9">
    <w:name w:val="WMSpec9"/>
    <w:basedOn w:val="Normal"/>
    <w:rsid w:val="00147A6E"/>
    <w:pPr>
      <w:numPr>
        <w:ilvl w:val="8"/>
        <w:numId w:val="9"/>
      </w:numPr>
      <w:spacing w:before="100" w:beforeAutospacing="1" w:after="100" w:afterAutospacing="1" w:line="240" w:lineRule="auto"/>
    </w:pPr>
    <w:rPr>
      <w:rFonts w:ascii="Arial" w:eastAsia="Times New Roman" w:hAnsi="Arial" w:cs="Times New Roman"/>
      <w:sz w:val="20"/>
      <w:szCs w:val="24"/>
      <w:lang w:eastAsia="en-US"/>
    </w:rPr>
  </w:style>
  <w:style w:type="paragraph" w:customStyle="1" w:styleId="WMSpecEnd">
    <w:name w:val="WMSpecEnd"/>
    <w:basedOn w:val="Normal"/>
    <w:rsid w:val="00147A6E"/>
    <w:pPr>
      <w:spacing w:before="480" w:after="100" w:afterAutospacing="1" w:line="240" w:lineRule="auto"/>
      <w:jc w:val="center"/>
    </w:pPr>
    <w:rPr>
      <w:rFonts w:ascii="Arial" w:eastAsia="Times New Roman" w:hAnsi="Arial" w:cs="Times New Roman"/>
      <w:caps/>
      <w:sz w:val="20"/>
      <w:szCs w:val="24"/>
      <w:lang w:eastAsia="en-US"/>
    </w:rPr>
  </w:style>
  <w:style w:type="paragraph" w:customStyle="1" w:styleId="WMSpecNumber">
    <w:name w:val="WMSpecNumber"/>
    <w:basedOn w:val="Normal"/>
    <w:next w:val="Normal"/>
    <w:rsid w:val="00147A6E"/>
    <w:pPr>
      <w:spacing w:before="100" w:beforeAutospacing="1" w:after="240" w:line="240" w:lineRule="auto"/>
      <w:jc w:val="center"/>
    </w:pPr>
    <w:rPr>
      <w:rFonts w:ascii="Arial" w:eastAsia="Times New Roman" w:hAnsi="Arial" w:cs="Times New Roman"/>
      <w:caps/>
      <w:sz w:val="20"/>
      <w:szCs w:val="20"/>
      <w:lang w:eastAsia="en-US"/>
    </w:rPr>
  </w:style>
  <w:style w:type="paragraph" w:customStyle="1" w:styleId="WMSpecTitle">
    <w:name w:val="WMSpecTitle"/>
    <w:basedOn w:val="Normal"/>
    <w:next w:val="WMSpec1"/>
    <w:rsid w:val="00147A6E"/>
    <w:pPr>
      <w:spacing w:before="100" w:beforeAutospacing="1" w:after="100" w:afterAutospacing="1" w:line="240" w:lineRule="auto"/>
      <w:jc w:val="center"/>
    </w:pPr>
    <w:rPr>
      <w:rFonts w:ascii="Arial" w:eastAsia="Times New Roman" w:hAnsi="Arial" w:cs="Times New Roman"/>
      <w:caps/>
      <w:sz w:val="20"/>
      <w:szCs w:val="24"/>
      <w:lang w:eastAsia="en-US"/>
    </w:rPr>
  </w:style>
  <w:style w:type="table" w:styleId="TableGrid">
    <w:name w:val="Table Grid"/>
    <w:basedOn w:val="TableNormal"/>
    <w:uiPriority w:val="59"/>
    <w:rsid w:val="002951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Wen</dc:creator>
  <cp:keywords/>
  <dc:description/>
  <cp:lastModifiedBy>Douglas Wen</cp:lastModifiedBy>
  <cp:revision>2</cp:revision>
  <dcterms:created xsi:type="dcterms:W3CDTF">2008-07-11T16:57:00Z</dcterms:created>
  <dcterms:modified xsi:type="dcterms:W3CDTF">2008-07-11T20:36:00Z</dcterms:modified>
</cp:coreProperties>
</file>